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23 vom 24. Mai 2023</w:t>
      </w:r>
    </w:p>
    <w:p>
      <w:r>
        <w:t>GR Gerichte, 2023-05-24, DE</w:t>
      </w:r>
    </w:p>
    <w:p>
      <w:r>
        <w:rPr>
          <w:b/>
        </w:rPr>
        <w:t xml:space="preserve">Quelle: </w:t>
      </w:r>
      <w:r>
        <w:t>https://mcp.opencaselaw.ch/entscheid/gr_gerichte_KSK 2023 23</w:t>
      </w:r>
    </w:p>
    <w:p>
      <w:r>
        <w:t>FR: GR_GERICHTE KSK 2023 23 du 24 mai 2023</w:t>
      </w:r>
    </w:p>
    <w:p>
      <w:r>
        <w:t>IT: GR_GERICHTE KSK 2023 23 del 24 maggio 2023</w:t>
      </w:r>
    </w:p>
    <w:p>
      <w:pPr>
        <w:pStyle w:val="Heading2"/>
      </w:pPr>
      <w:r>
        <w:t>Regeste</w:t>
      </w:r>
    </w:p>
    <w:p>
      <w:r>
        <w:t>Pfändung | Aufsicht Beschwerde (SchKG 17 Abs. 1)</w:t>
      </w:r>
    </w:p>
    <w:p>
      <w:pPr>
        <w:pStyle w:val="Heading2"/>
      </w:pPr>
      <w:r>
        <w:t>Erwägungen</w:t>
      </w:r>
    </w:p>
    <w:p>
      <w:r>
        <w:rPr>
          <w:b/>
        </w:rPr>
        <w:t>E. 22</w:t>
      </w:r>
    </w:p>
    <w:p>
      <w:r>
        <w:t>März 2023 gegen die am 20. März 2023 zugestellten Aufforderung zur Pfän- dungseinvernahme ist unabhängig der konkreten Rügen in jedem Falle innert der zehntätigen Frist erfolgt. 2.1. Was die Anforderungen an den Inhalt der Beschwerde betrifft, so muss ein Beschwerdeführer gegenüber der Beschwerdeinstanz angeben, welche Änderung der angefochtenen Anordnung er beantragt, welche Rechtssätze durch den ange- fochtenen Entscheid verletzt sind und auf welche Gründe er sich abstützt. Gemäss Art. 20a Abs. 2 Ziff. 3 SchKG darf die Aufsichtsbehörde nicht über die Anträge der Parteien hinausgehen. 2.2. Der Beschwerdeführer begründet seine Anträge auf Nichtigkeit bzw. Ungül- tigkeit der Aufforderung zur Pfändungseinvernahme und aller Dokumente, welche im Zusammenhang mit der Betreibung Nr. B._____ des Betreibungsamts Viamala</w:t>
      </w:r>
    </w:p>
    <w:p>
      <w:r>
        <w:t>4 / 6 stehen würden, im Wesentlichen damit, dass sein Name nicht gesetzeskonform und in verschiedenen Varianten geschrieben worden sei (act. A.1. S. 1). 2.3. Das Betreibungsrecht regelt nicht in allgemeiner Weise, welche Angaben zur Person der Parteien die einzelnen Aktenstücke haben müssen. Mit Bezug auf den Zahlungsbefehl bestimmt Art. 69 Abs. 2 Ziff. 1 SchKG i.V.m. Art. 67 Abs. 1 Ziff. 2 SchKG, dass der Name und der Wohnort des Schuldners anzugeben sind. Diese Angaben sind auch in den weiteren Urkunden wie Pfändungsankündigung usw. aufzuführen. Der Zweck besteht darin, den Schuldner bzw. die Schuldnerin eindeutig identifizieren zu können. Das Gesetz bestimmt nicht, was unter dem Namen des Schuldners zu verstehen ist. Vom Zweck her muss damit die amtliche Bezeichnung des Schuldners erfasst werden, soweit sie zu dessen Identifikation nötig ist. Der amtliche Name einer Person besteht aus dem Familiennamen und dem oder den Vornamen. Vom Zweck her, die eindeutige Identifikation des Schuldners zu ermöglichen, besteht allerdings keine Notwendigkeit, in den Betrei- bungsurkunden stets den amtlichen Namen vollständig unverändert zu verwen- den. So werden beispielsweise häufig einzelne Vornamen weggelassen, wenn eine Person mehrere Vornamen hat. Umgekehrt wird je nach Namen dieser für die Identifizierung einer Person, selbst zusammen mit dem Wohnort, nicht immer genügen. Dann müssen die Ämter zur Unterscheidung auf weitere Angaben zurückgreifen (KGer GR KSK 23 24 v. 26.4.2023 E. 2.2.1; BGE 120 III 60 E. 2). Nur am Rande sei erwähnt, dass die Interpunktion nicht Bestandteil des amtlichen Namens ist (KGer GR KSK 23 24 v. 26.4.2023 E. 2.2.2). 2.4. Der Beschwerdeführer macht in seiner Eingabe weder geltend, inwiefern und auf welchen Dokumenten sein Name nicht korrekt wiedergegeben worden ist, noch, dass er nicht identifiziert hätte werden können. Somit kann nicht auf unkor- rekte oder gar nichtige Betreibungshandlungen geschlossen werden, weshalb die Beschwerde in diesem Punkt ohne Weiteres abzuweisen ist. 3. Soweit der Beschwerdeführer die Freigabe des Bankkontos bei der C._____ Mittelbünden anbegehrt, ist die Aufhebung der Sicherungsmassnahme bereits am 29. März 2023 erfolgt (act. E.I.9), so dass die Beschwerde diesbezüg- lich mangels bestehendem schutzwürdigem Interesse gegenstandslos geworden ist. Nicht zu prüfen ist daher der Einwand, ob im Zeitpunkt der Kontosperrung eine rechtsgültige Verfügung bestanden hat. Ebenso fehlt es hinsichtlich des Antrages, es sei abzuklären, ob im Zeitpunkt der Kontosperrung eine rechtsgültige Verfü- gung bestanden habe, zum Vornherein an einem praktischen Interesse in Bezug auf die beantragte Feststellung.</w:t>
      </w:r>
    </w:p>
    <w:p>
      <w:r>
        <w:t>5 / 6 4.1. Der Beschwerdeführer macht schliesslich geltend, das Amt habe ihn trotz des Umstands, dass ein anderer Gläubiger im ersten Rang vor dem Betreibungs- amt Viamala stehe, zu einer Straftat im Sinne von Art. 167 StGB gedrängt. Es sei daher eine Nötigung zu prüfen. 4.2. Dazu ist festzuhalten, dass die Kognition des Betreibungsamtes bei der Prüfung des Betreibungsbegehrens bzw. der Ausstellung des Zahlungsbefehls und bei den weiteren Betreibungsschritten, namentlich beim Fortsetzungsbegeh- ren und der Pfändungsankündigung, sehr beschränkt ist (vgl. Karl Wüthrich/Peter Schoch, in: Staehelin/Bauer/Lorandi [Hrsg.], Basler Kommentar, Bundesgesetz über Schuldbetreibung und Konkurs I, 4. Aufl., Basel 2021, N 12 zu Art. 69 SchKG). Das Betreibungsamt hat nur hinsichtlich der Verfahrensvoraussetzungen der Betreibung, nicht jedoch in materiell-rechtlicher Hinsicht eine Prüfungsbefugnis vorzunehmen, und es hat sich nicht darum zu kümmern, ob der geltend gemachte Anspruch vollstreckbar oder überhaupt materiell-rechtlich begründet ist (BGer 5A_563/2018 v. 12.8.2019 E. 3.5.1). Wird die materielle Begründetheit der Forde- rung in Frage gestellt, ist dagegen Rechtsvorschlag zu erheben. Im Weiteren ist nicht ersichtlich, inwiefern die Vorinstanz in den Pfändungshandlungen, welche gar noch nicht abgeschlossen sind, Rechtsverletzungen begangen haben soll, namentlich durch eine Gläubigerbevorzugung gegenüber der A._____ Immobilien GmbH, dessen einziger Gesellschafter der Beschwerdeführer selber ist. Ohnehin ist die Aufsichtsbehörde über Schuldbetreibung und Konkurs nicht zuständig, im Rahmen einer Aufsichtsbeschwerde nach Art. 17 SchKG Handlungen einer Amts- leiterin auf eine mögliche strafrechtliche Relevanz zu prüfen. Dieser Antrag ist da- her abzuweisen, soweit darauf einzutreten ist. 5. Da sich die Aufsichtsbeschwerde als offensichtlich unzulässig beziehungs- weise offensichtlich unbegründet erweist, ergeht dieser Entscheid in Anwendung von Art. 18 Abs. 3 GOG in einzelrichterlicher Kompetenz 6. Das vorliegende Beschwerdeverfahren ist kostenlos (Art. 20a Abs. 2 Ziff. 5 SchKG).</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